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FBB" w:rsidP="00C01FBB" w:rsidRDefault="00C01FBB" w14:paraId="359D72F0" w14:textId="28DBA1D9">
      <w:pPr>
        <w:pStyle w:val="Texto"/>
        <w:spacing w:before="0" w:after="0" w:line="240" w:lineRule="auto"/>
        <w:jc w:val="center"/>
        <w:rPr>
          <w:sz w:val="24"/>
        </w:rPr>
      </w:pPr>
      <w:r>
        <w:rPr>
          <w:sz w:val="24"/>
        </w:rPr>
        <w:t xml:space="preserve">Circular externa </w:t>
      </w:r>
    </w:p>
    <w:p w:rsidRPr="002E2B0A" w:rsidR="006972C9" w:rsidP="00C01FBB" w:rsidRDefault="00C21A88" w14:paraId="069804F4" w14:textId="79024815">
      <w:pPr>
        <w:pStyle w:val="Texto"/>
        <w:spacing w:before="0" w:after="0" w:line="240" w:lineRule="auto"/>
        <w:jc w:val="center"/>
        <w:rPr>
          <w:sz w:val="24"/>
        </w:rPr>
      </w:pPr>
      <w:r>
        <w:rPr>
          <w:sz w:val="24"/>
        </w:rPr>
        <w:t>1 de julio</w:t>
      </w:r>
      <w:bookmarkStart w:name="_GoBack" w:id="0"/>
      <w:bookmarkEnd w:id="0"/>
      <w:r w:rsidR="00C01FBB">
        <w:rPr>
          <w:sz w:val="24"/>
        </w:rPr>
        <w:t xml:space="preserve"> de 2021</w:t>
      </w:r>
    </w:p>
    <w:sdt>
      <w:sdtPr>
        <w:rPr>
          <w:sz w:val="24"/>
        </w:rPr>
        <w:alias w:val="Consecutivo"/>
        <w:tag w:val="Consecutivo"/>
        <w:id w:val="2052717023"/>
        <w:placeholder>
          <w:docPart w:val="1DC0A76AA5CC4C268144CAD4BA2B139F"/>
        </w:placeholder>
        <w:text/>
      </w:sdtPr>
      <w:sdtEndPr/>
      <w:sdtContent>
        <w:p w:rsidR="006972C9" w:rsidP="00C01FBB" w:rsidRDefault="006972C9" w14:paraId="1102AA8F" w14:textId="77777777">
          <w:pPr>
            <w:tabs>
              <w:tab w:val="left" w:pos="2843"/>
            </w:tabs>
            <w:spacing w:line="240" w:lineRule="auto"/>
            <w:jc w:val="center"/>
            <w:rPr>
              <w:sz w:val="24"/>
            </w:rPr>
          </w:pPr>
          <w:r>
            <w:t>SGF-1816-2021</w:t>
          </w:r>
        </w:p>
      </w:sdtContent>
    </w:sdt>
    <w:p w:rsidR="006972C9" w:rsidP="00C01FBB" w:rsidRDefault="00C21A88" w14:paraId="2E55DFFB" w14:textId="398E60B9">
      <w:pPr>
        <w:tabs>
          <w:tab w:val="left" w:pos="2843"/>
        </w:tabs>
        <w:spacing w:line="240" w:lineRule="auto"/>
        <w:jc w:val="center"/>
        <w:rPr>
          <w:sz w:val="24"/>
        </w:rPr>
      </w:pPr>
      <w:sdt>
        <w:sdtPr>
          <w:rPr>
            <w:sz w:val="24"/>
          </w:rPr>
          <w:alias w:val="Confidencialidad"/>
          <w:tag w:val="Confidencialidad"/>
          <w:id w:val="1447896894"/>
          <w:placeholder>
            <w:docPart w:val="AEB2DB8A534A421BAD50CA16E9C25B8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01FBB">
            <w:rPr>
              <w:sz w:val="24"/>
            </w:rPr>
            <w:t>SGF-PUBLICO</w:t>
          </w:r>
        </w:sdtContent>
      </w:sdt>
    </w:p>
    <w:p w:rsidRPr="002E2B0A" w:rsidR="006972C9" w:rsidP="006972C9" w:rsidRDefault="006972C9" w14:paraId="2F7E6438" w14:textId="77777777">
      <w:pPr>
        <w:tabs>
          <w:tab w:val="left" w:pos="2843"/>
        </w:tabs>
        <w:spacing w:line="240" w:lineRule="auto"/>
        <w:rPr>
          <w:sz w:val="24"/>
        </w:rPr>
      </w:pPr>
      <w:r w:rsidRPr="002E2B0A">
        <w:rPr>
          <w:sz w:val="24"/>
        </w:rPr>
        <w:tab/>
      </w:r>
    </w:p>
    <w:p w:rsidRPr="00C27A36" w:rsidR="00C01FBB" w:rsidP="00C01FBB" w:rsidRDefault="00C01FBB" w14:paraId="7BF5EA54" w14:textId="77777777">
      <w:pPr>
        <w:spacing w:line="240" w:lineRule="auto"/>
        <w:jc w:val="left"/>
        <w:rPr>
          <w:rFonts w:eastAsia="Calibri"/>
          <w:b/>
          <w:szCs w:val="22"/>
          <w:lang w:val="es-CR"/>
        </w:rPr>
      </w:pPr>
      <w:r w:rsidRPr="00C27A36">
        <w:rPr>
          <w:rFonts w:eastAsia="Calibri"/>
          <w:b/>
          <w:szCs w:val="22"/>
          <w:lang w:val="es-CR"/>
        </w:rPr>
        <w:t xml:space="preserve">Dirigida a: </w:t>
      </w:r>
    </w:p>
    <w:p w:rsidRPr="00C27A36" w:rsidR="00C01FBB" w:rsidP="00C01FBB" w:rsidRDefault="00C01FBB" w14:paraId="242BA156" w14:textId="77777777">
      <w:pPr>
        <w:spacing w:line="240" w:lineRule="auto"/>
        <w:jc w:val="left"/>
        <w:rPr>
          <w:rFonts w:eastAsia="Calibri"/>
          <w:b/>
          <w:szCs w:val="22"/>
          <w:lang w:val="es-CR"/>
        </w:rPr>
      </w:pPr>
    </w:p>
    <w:p w:rsidRPr="00C27A36" w:rsidR="00C01FBB" w:rsidP="00C01FBB" w:rsidRDefault="00C01FBB" w14:paraId="38D92DCB" w14:textId="77777777">
      <w:pPr>
        <w:numPr>
          <w:ilvl w:val="0"/>
          <w:numId w:val="3"/>
        </w:numPr>
        <w:spacing w:after="160" w:line="240" w:lineRule="auto"/>
        <w:jc w:val="left"/>
        <w:rPr>
          <w:rFonts w:eastAsia="Calibri"/>
          <w:b/>
          <w:szCs w:val="22"/>
          <w:lang w:val="es-CR"/>
        </w:rPr>
      </w:pPr>
      <w:r w:rsidRPr="00C27A36">
        <w:rPr>
          <w:rFonts w:eastAsia="Calibri"/>
          <w:b/>
          <w:szCs w:val="22"/>
          <w:lang w:val="es-CR"/>
        </w:rPr>
        <w:t>Bancos Comerciales del Estado</w:t>
      </w:r>
    </w:p>
    <w:p w:rsidRPr="00C27A36" w:rsidR="00C01FBB" w:rsidP="00C01FBB" w:rsidRDefault="00C01FBB" w14:paraId="7EBE9E82" w14:textId="77777777">
      <w:pPr>
        <w:numPr>
          <w:ilvl w:val="0"/>
          <w:numId w:val="3"/>
        </w:numPr>
        <w:spacing w:after="160" w:line="240" w:lineRule="auto"/>
        <w:jc w:val="left"/>
        <w:rPr>
          <w:rFonts w:eastAsia="Calibri"/>
          <w:b/>
          <w:szCs w:val="22"/>
          <w:lang w:val="es-CR"/>
        </w:rPr>
      </w:pPr>
      <w:r w:rsidRPr="00C27A36">
        <w:rPr>
          <w:rFonts w:eastAsia="Calibri"/>
          <w:b/>
          <w:szCs w:val="22"/>
          <w:lang w:val="es-CR"/>
        </w:rPr>
        <w:t>Banco Popular y de Desarrollo Comunal</w:t>
      </w:r>
    </w:p>
    <w:p w:rsidRPr="00C27A36" w:rsidR="00C01FBB" w:rsidP="00C01FBB" w:rsidRDefault="00C01FBB" w14:paraId="71D3D24A" w14:textId="77777777">
      <w:pPr>
        <w:numPr>
          <w:ilvl w:val="0"/>
          <w:numId w:val="3"/>
        </w:numPr>
        <w:spacing w:after="160" w:line="240" w:lineRule="auto"/>
        <w:jc w:val="left"/>
        <w:rPr>
          <w:rFonts w:eastAsia="Calibri"/>
          <w:b/>
          <w:szCs w:val="22"/>
          <w:lang w:val="es-CR"/>
        </w:rPr>
      </w:pPr>
      <w:r w:rsidRPr="00C27A36">
        <w:rPr>
          <w:rFonts w:eastAsia="Calibri"/>
          <w:b/>
          <w:szCs w:val="22"/>
          <w:lang w:val="es-CR"/>
        </w:rPr>
        <w:t>Bancos Privados</w:t>
      </w:r>
    </w:p>
    <w:p w:rsidRPr="00C27A36" w:rsidR="00C01FBB" w:rsidP="00C01FBB" w:rsidRDefault="00C01FBB" w14:paraId="663764D4" w14:textId="77777777">
      <w:pPr>
        <w:numPr>
          <w:ilvl w:val="0"/>
          <w:numId w:val="3"/>
        </w:numPr>
        <w:spacing w:after="160" w:line="240" w:lineRule="auto"/>
        <w:jc w:val="left"/>
        <w:rPr>
          <w:rFonts w:eastAsia="Calibri"/>
          <w:b/>
          <w:szCs w:val="22"/>
          <w:lang w:val="es-CR"/>
        </w:rPr>
      </w:pPr>
      <w:r w:rsidRPr="00C27A36">
        <w:rPr>
          <w:rFonts w:eastAsia="Calibri"/>
          <w:b/>
          <w:szCs w:val="22"/>
          <w:lang w:val="es-CR"/>
        </w:rPr>
        <w:t>Empresas Financieras no Bancarias</w:t>
      </w:r>
    </w:p>
    <w:p w:rsidRPr="00C27A36" w:rsidR="00C01FBB" w:rsidP="00C01FBB" w:rsidRDefault="00C01FBB" w14:paraId="76241445" w14:textId="77777777">
      <w:pPr>
        <w:numPr>
          <w:ilvl w:val="0"/>
          <w:numId w:val="3"/>
        </w:numPr>
        <w:spacing w:after="160" w:line="240" w:lineRule="auto"/>
        <w:jc w:val="left"/>
        <w:rPr>
          <w:rFonts w:eastAsia="Calibri"/>
          <w:b/>
          <w:szCs w:val="22"/>
          <w:lang w:val="es-CR"/>
        </w:rPr>
      </w:pPr>
      <w:r w:rsidRPr="00C27A36">
        <w:rPr>
          <w:rFonts w:eastAsia="Calibri"/>
          <w:b/>
          <w:szCs w:val="22"/>
          <w:lang w:val="es-CR"/>
        </w:rPr>
        <w:t>Caja de Ande</w:t>
      </w:r>
    </w:p>
    <w:p w:rsidRPr="00C27A36" w:rsidR="00C01FBB" w:rsidP="00C01FBB" w:rsidRDefault="00C01FBB" w14:paraId="612A938D" w14:textId="77777777">
      <w:pPr>
        <w:numPr>
          <w:ilvl w:val="0"/>
          <w:numId w:val="3"/>
        </w:numPr>
        <w:spacing w:after="160" w:line="240" w:lineRule="auto"/>
        <w:jc w:val="left"/>
        <w:rPr>
          <w:rFonts w:eastAsia="Calibri"/>
          <w:b/>
          <w:szCs w:val="22"/>
          <w:lang w:val="es-CR"/>
        </w:rPr>
      </w:pPr>
      <w:r w:rsidRPr="00C27A36">
        <w:rPr>
          <w:rFonts w:eastAsia="Calibri"/>
          <w:b/>
          <w:szCs w:val="22"/>
          <w:lang w:val="es-CR"/>
        </w:rPr>
        <w:t>Organizaciones Cooperativas de Ahorro y Crédito</w:t>
      </w:r>
    </w:p>
    <w:p w:rsidRPr="00C27A36" w:rsidR="00C01FBB" w:rsidP="00C01FBB" w:rsidRDefault="00C01FBB" w14:paraId="396B650F" w14:textId="77777777">
      <w:pPr>
        <w:spacing w:line="240" w:lineRule="auto"/>
        <w:jc w:val="left"/>
        <w:rPr>
          <w:rFonts w:eastAsia="Calibri"/>
          <w:szCs w:val="22"/>
          <w:lang w:val="es-CR"/>
        </w:rPr>
      </w:pPr>
    </w:p>
    <w:p w:rsidRPr="009C7C87" w:rsidR="00C01FBB" w:rsidP="00C01FBB" w:rsidRDefault="00C01FBB" w14:paraId="6810CC4F" w14:textId="34E3F9FE">
      <w:pPr>
        <w:spacing w:line="240" w:lineRule="auto"/>
        <w:rPr>
          <w:rFonts w:eastAsia="Calibri"/>
          <w:i/>
          <w:iCs/>
          <w:szCs w:val="22"/>
          <w:lang w:val="es-CR"/>
        </w:rPr>
      </w:pPr>
      <w:r w:rsidRPr="00C27A36">
        <w:rPr>
          <w:rFonts w:eastAsia="Calibri"/>
          <w:b/>
          <w:szCs w:val="22"/>
          <w:lang w:val="es-CR"/>
        </w:rPr>
        <w:t>Asunto:</w:t>
      </w:r>
      <w:r w:rsidRPr="00C27A36">
        <w:rPr>
          <w:rFonts w:eastAsia="Calibri"/>
          <w:szCs w:val="22"/>
          <w:lang w:val="es-CR"/>
        </w:rPr>
        <w:t xml:space="preserve"> </w:t>
      </w:r>
      <w:r w:rsidRPr="009C7C87">
        <w:t>Aclaració</w:t>
      </w:r>
      <w:r>
        <w:t>n de los puntos 1, 3 y 7 de la circular externa SGF-1708-2021</w:t>
      </w:r>
      <w:r w:rsidRPr="009C7C87">
        <w:t xml:space="preserve"> </w:t>
      </w:r>
      <w:r w:rsidRPr="009C7C87">
        <w:rPr>
          <w:rFonts w:eastAsia="Calibri"/>
          <w:i/>
          <w:iCs/>
          <w:szCs w:val="22"/>
          <w:lang w:val="es-CR"/>
        </w:rPr>
        <w:t>Directrices para el cumplimiento del artículo 16 “Uso contingente de los recursos del encaje mínimo legal y de la reserva de liquidez para financiar el Fondo de Garantías de Depósitos” de la Ley N °9816 por parte de las entidades contribuyentes</w:t>
      </w:r>
      <w:r>
        <w:rPr>
          <w:rFonts w:eastAsia="Calibri"/>
          <w:i/>
          <w:iCs/>
          <w:szCs w:val="22"/>
          <w:lang w:val="es-CR"/>
        </w:rPr>
        <w:t>.</w:t>
      </w:r>
    </w:p>
    <w:p w:rsidRPr="009C7C87" w:rsidR="00C01FBB" w:rsidP="00C01FBB" w:rsidRDefault="00C01FBB" w14:paraId="677AE710" w14:textId="77777777">
      <w:pPr>
        <w:spacing w:line="240" w:lineRule="auto"/>
        <w:jc w:val="left"/>
        <w:rPr>
          <w:rFonts w:eastAsia="Calibri"/>
          <w:szCs w:val="22"/>
          <w:lang w:val="es-CR"/>
        </w:rPr>
      </w:pPr>
    </w:p>
    <w:p w:rsidRPr="009C7C87" w:rsidR="00C01FBB" w:rsidP="00C01FBB" w:rsidRDefault="00C01FBB" w14:paraId="70FF2E05" w14:textId="77777777">
      <w:pPr>
        <w:spacing w:line="240" w:lineRule="auto"/>
        <w:jc w:val="left"/>
        <w:rPr>
          <w:rFonts w:eastAsia="Calibri"/>
          <w:szCs w:val="22"/>
          <w:lang w:val="es-CR"/>
        </w:rPr>
      </w:pPr>
      <w:r w:rsidRPr="009C7C87">
        <w:rPr>
          <w:rFonts w:eastAsia="Calibri"/>
          <w:szCs w:val="22"/>
          <w:lang w:val="es-CR"/>
        </w:rPr>
        <w:t>La Superintendente General de Entidades Financieras:</w:t>
      </w:r>
    </w:p>
    <w:p w:rsidRPr="009C7C87" w:rsidR="00C01FBB" w:rsidP="00C01FBB" w:rsidRDefault="00C01FBB" w14:paraId="08957486" w14:textId="77777777">
      <w:pPr>
        <w:spacing w:line="240" w:lineRule="auto"/>
        <w:jc w:val="left"/>
        <w:rPr>
          <w:rFonts w:eastAsia="Calibri"/>
          <w:b/>
          <w:bCs/>
          <w:szCs w:val="22"/>
          <w:lang w:val="es-CR"/>
        </w:rPr>
      </w:pPr>
    </w:p>
    <w:p w:rsidRPr="009C7C87" w:rsidR="00C01FBB" w:rsidP="00C01FBB" w:rsidRDefault="00C01FBB" w14:paraId="68A3F226" w14:textId="77777777">
      <w:pPr>
        <w:spacing w:line="240" w:lineRule="auto"/>
        <w:jc w:val="left"/>
        <w:rPr>
          <w:rFonts w:eastAsia="Calibri"/>
          <w:b/>
          <w:bCs/>
          <w:szCs w:val="22"/>
          <w:lang w:val="es-CR"/>
        </w:rPr>
      </w:pPr>
      <w:r w:rsidRPr="009C7C87">
        <w:rPr>
          <w:rFonts w:eastAsia="Calibri"/>
          <w:b/>
          <w:bCs/>
          <w:szCs w:val="22"/>
          <w:lang w:val="es-CR"/>
        </w:rPr>
        <w:t>Considerando que:</w:t>
      </w:r>
    </w:p>
    <w:p w:rsidRPr="009C7C87" w:rsidR="00C01FBB" w:rsidP="00C01FBB" w:rsidRDefault="00C01FBB" w14:paraId="748D81DB" w14:textId="77777777">
      <w:pPr>
        <w:autoSpaceDE w:val="0"/>
        <w:autoSpaceDN w:val="0"/>
        <w:adjustRightInd w:val="0"/>
        <w:spacing w:line="240" w:lineRule="auto"/>
        <w:rPr>
          <w:rFonts w:eastAsia="Calibri"/>
          <w:szCs w:val="22"/>
          <w:lang w:val="es-CR"/>
        </w:rPr>
      </w:pPr>
    </w:p>
    <w:p w:rsidRPr="0059117B" w:rsidR="00C01FBB" w:rsidP="00C01FBB" w:rsidRDefault="00C01FBB" w14:paraId="73BB9788" w14:textId="2E0A1053">
      <w:pPr>
        <w:autoSpaceDE w:val="0"/>
        <w:autoSpaceDN w:val="0"/>
        <w:adjustRightInd w:val="0"/>
        <w:spacing w:line="240" w:lineRule="auto"/>
        <w:rPr>
          <w:rFonts w:eastAsia="Calibri"/>
          <w:szCs w:val="22"/>
          <w:lang w:val="es-CR"/>
        </w:rPr>
      </w:pPr>
      <w:r w:rsidRPr="0059117B">
        <w:rPr>
          <w:rFonts w:eastAsia="Calibri"/>
          <w:szCs w:val="22"/>
          <w:lang w:val="es-CR"/>
        </w:rPr>
        <w:t xml:space="preserve">Debido a las consultas efectuadas por las entidades contribuyentes </w:t>
      </w:r>
      <w:r>
        <w:rPr>
          <w:rFonts w:eastAsia="Calibri"/>
          <w:szCs w:val="22"/>
          <w:lang w:val="es-CR"/>
        </w:rPr>
        <w:t>con</w:t>
      </w:r>
      <w:r w:rsidRPr="0059117B">
        <w:rPr>
          <w:rFonts w:eastAsia="Calibri"/>
          <w:szCs w:val="22"/>
          <w:lang w:val="es-CR"/>
        </w:rPr>
        <w:t xml:space="preserve"> relación </w:t>
      </w:r>
      <w:r>
        <w:rPr>
          <w:rFonts w:eastAsia="Calibri"/>
          <w:szCs w:val="22"/>
          <w:lang w:val="es-CR"/>
        </w:rPr>
        <w:t>a</w:t>
      </w:r>
      <w:r w:rsidRPr="0059117B">
        <w:rPr>
          <w:rFonts w:eastAsia="Calibri"/>
          <w:szCs w:val="22"/>
          <w:lang w:val="es-CR"/>
        </w:rPr>
        <w:t xml:space="preserve"> los puntos 1, 3 y 7 de la circular 1708-2021 de fecha 22 de junio del 2021, </w:t>
      </w:r>
      <w:r>
        <w:rPr>
          <w:rFonts w:eastAsia="Calibri"/>
          <w:szCs w:val="22"/>
          <w:lang w:val="es-CR"/>
        </w:rPr>
        <w:t>se</w:t>
      </w:r>
      <w:r w:rsidRPr="0059117B">
        <w:rPr>
          <w:rFonts w:eastAsia="Calibri"/>
          <w:szCs w:val="22"/>
          <w:lang w:val="es-CR"/>
        </w:rPr>
        <w:t xml:space="preserve"> procede aclarar lo siguiente:</w:t>
      </w:r>
    </w:p>
    <w:p w:rsidRPr="009C7C87" w:rsidR="00C01FBB" w:rsidP="00C01FBB" w:rsidRDefault="00C01FBB" w14:paraId="7EB128AD" w14:textId="77777777">
      <w:pPr>
        <w:spacing w:line="240" w:lineRule="auto"/>
        <w:rPr>
          <w:rFonts w:eastAsia="Calibri"/>
          <w:b/>
          <w:bCs/>
          <w:szCs w:val="22"/>
          <w:lang w:val="es-CR"/>
        </w:rPr>
      </w:pPr>
    </w:p>
    <w:p w:rsidRPr="009C7C87" w:rsidR="00C01FBB" w:rsidP="00C01FBB" w:rsidRDefault="00C01FBB" w14:paraId="6D7260D1" w14:textId="0AD8234B">
      <w:pPr>
        <w:pStyle w:val="Prrafodelista"/>
        <w:numPr>
          <w:ilvl w:val="0"/>
          <w:numId w:val="4"/>
        </w:numPr>
        <w:spacing w:after="160" w:line="240" w:lineRule="auto"/>
        <w:rPr>
          <w:rFonts w:eastAsia="Calibri"/>
        </w:rPr>
      </w:pPr>
      <w:r w:rsidRPr="008D00A4">
        <w:rPr>
          <w:rFonts w:eastAsia="Calibri"/>
          <w:b/>
          <w:bCs/>
        </w:rPr>
        <w:t>Aclaración punto 1:</w:t>
      </w:r>
      <w:r>
        <w:rPr>
          <w:rFonts w:eastAsia="Calibri"/>
        </w:rPr>
        <w:t xml:space="preserve"> </w:t>
      </w:r>
      <w:r w:rsidRPr="009C7C87">
        <w:rPr>
          <w:rFonts w:eastAsia="Calibri"/>
        </w:rPr>
        <w:t>A partir del 30 de junio del 2021, las entidades contribuyentes deberán registrar en su balance el monto de</w:t>
      </w:r>
      <w:r w:rsidR="00066EFD">
        <w:rPr>
          <w:rFonts w:eastAsia="Calibri"/>
        </w:rPr>
        <w:t xml:space="preserve"> la</w:t>
      </w:r>
      <w:r w:rsidRPr="009C7C87">
        <w:rPr>
          <w:rFonts w:eastAsia="Calibri"/>
        </w:rPr>
        <w:t xml:space="preserve"> garantía</w:t>
      </w:r>
      <w:r w:rsidR="00066EFD">
        <w:rPr>
          <w:rFonts w:eastAsia="Calibri"/>
        </w:rPr>
        <w:t xml:space="preserve"> contingente que prevé la Ley N° 9816</w:t>
      </w:r>
      <w:r w:rsidRPr="009C7C87">
        <w:rPr>
          <w:rFonts w:eastAsia="Calibri"/>
        </w:rPr>
        <w:t xml:space="preserve"> para el Fondo de Garantía de Depósitos. </w:t>
      </w:r>
    </w:p>
    <w:p w:rsidR="00C01FBB" w:rsidP="00C01FBB" w:rsidRDefault="00C01FBB" w14:paraId="57F92863" w14:textId="665D25CE">
      <w:pPr>
        <w:spacing w:line="240" w:lineRule="auto"/>
        <w:ind w:left="720"/>
        <w:contextualSpacing/>
        <w:rPr>
          <w:rFonts w:eastAsia="Calibri"/>
          <w:i/>
          <w:iCs/>
        </w:rPr>
      </w:pPr>
      <w:r w:rsidRPr="009C7C87">
        <w:rPr>
          <w:rFonts w:eastAsia="Calibri"/>
        </w:rPr>
        <w:t>En el caso de las entidades sujetas al requerimiento de encaje legal, el monto de esa garantía se calculará aplicando el 2% al saldo promedio de</w:t>
      </w:r>
      <w:r>
        <w:rPr>
          <w:rFonts w:eastAsia="Calibri"/>
        </w:rPr>
        <w:t xml:space="preserve"> pasivos sujetos a encaje legal</w:t>
      </w:r>
      <w:r w:rsidRPr="009C7C87">
        <w:rPr>
          <w:rFonts w:eastAsia="Calibri"/>
        </w:rPr>
        <w:t xml:space="preserve"> de la primera quincena</w:t>
      </w:r>
      <w:r>
        <w:rPr>
          <w:rFonts w:eastAsia="Calibri"/>
        </w:rPr>
        <w:t xml:space="preserve"> </w:t>
      </w:r>
      <w:r w:rsidRPr="009C7C87">
        <w:rPr>
          <w:rFonts w:eastAsia="Calibri"/>
        </w:rPr>
        <w:t>de</w:t>
      </w:r>
      <w:r>
        <w:rPr>
          <w:rFonts w:eastAsia="Calibri"/>
        </w:rPr>
        <w:t>l mes anterior, que para el cierre de junio del 2021,</w:t>
      </w:r>
      <w:r w:rsidR="00921305">
        <w:rPr>
          <w:rFonts w:eastAsia="Calibri"/>
        </w:rPr>
        <w:t xml:space="preserve"> correspondería a</w:t>
      </w:r>
      <w:r>
        <w:rPr>
          <w:rFonts w:eastAsia="Calibri"/>
        </w:rPr>
        <w:t xml:space="preserve"> la primera quincena de mayo</w:t>
      </w:r>
      <w:r w:rsidR="00921305">
        <w:rPr>
          <w:rFonts w:eastAsia="Calibri"/>
        </w:rPr>
        <w:t xml:space="preserve"> del</w:t>
      </w:r>
      <w:r>
        <w:rPr>
          <w:rFonts w:eastAsia="Calibri"/>
        </w:rPr>
        <w:t xml:space="preserve"> 2021. </w:t>
      </w:r>
      <w:r w:rsidR="00921305">
        <w:rPr>
          <w:rFonts w:eastAsia="Calibri"/>
        </w:rPr>
        <w:t xml:space="preserve"> Es</w:t>
      </w:r>
      <w:r w:rsidRPr="009C7C87">
        <w:rPr>
          <w:rFonts w:eastAsia="Calibri"/>
        </w:rPr>
        <w:t>e</w:t>
      </w:r>
      <w:r>
        <w:rPr>
          <w:rFonts w:eastAsia="Calibri"/>
        </w:rPr>
        <w:t xml:space="preserve"> monto debe ser registrado en la subcuenta </w:t>
      </w:r>
      <w:r w:rsidRPr="0086232F">
        <w:rPr>
          <w:rFonts w:eastAsia="Calibri"/>
        </w:rPr>
        <w:t xml:space="preserve">116.29 </w:t>
      </w:r>
      <w:r w:rsidRPr="0086232F">
        <w:rPr>
          <w:rFonts w:eastAsia="Calibri"/>
          <w:i/>
          <w:iCs/>
        </w:rPr>
        <w:t xml:space="preserve">Garantía contingente al Fondo de Garantía de Depósitos (FGD) </w:t>
      </w:r>
      <w:r>
        <w:rPr>
          <w:rFonts w:eastAsia="Calibri"/>
          <w:i/>
          <w:iCs/>
        </w:rPr>
        <w:t>–</w:t>
      </w:r>
      <w:r w:rsidRPr="0086232F">
        <w:rPr>
          <w:rFonts w:eastAsia="Calibri"/>
          <w:i/>
          <w:iCs/>
        </w:rPr>
        <w:t xml:space="preserve"> EML</w:t>
      </w:r>
      <w:r>
        <w:rPr>
          <w:rFonts w:eastAsia="Calibri"/>
          <w:i/>
          <w:iCs/>
        </w:rPr>
        <w:t xml:space="preserve">. </w:t>
      </w:r>
    </w:p>
    <w:p w:rsidRPr="007B1C8F" w:rsidR="00C01FBB" w:rsidP="00C01FBB" w:rsidRDefault="00C01FBB" w14:paraId="0C8F3E8D" w14:textId="77777777">
      <w:pPr>
        <w:spacing w:line="240" w:lineRule="auto"/>
        <w:ind w:left="720"/>
        <w:contextualSpacing/>
        <w:rPr>
          <w:rFonts w:eastAsia="Calibri"/>
        </w:rPr>
      </w:pPr>
    </w:p>
    <w:p w:rsidR="00C01FBB" w:rsidP="00C01FBB" w:rsidRDefault="00C01FBB" w14:paraId="6E5F5FDE" w14:textId="1EEF5DC7">
      <w:pPr>
        <w:spacing w:line="240" w:lineRule="auto"/>
        <w:ind w:left="720"/>
        <w:contextualSpacing/>
        <w:rPr>
          <w:rFonts w:eastAsia="Calibri"/>
        </w:rPr>
      </w:pPr>
      <w:r>
        <w:rPr>
          <w:rFonts w:eastAsia="Calibri"/>
        </w:rPr>
        <w:t xml:space="preserve">En el caso de las entidades </w:t>
      </w:r>
      <w:r w:rsidRPr="000E1C63">
        <w:rPr>
          <w:rFonts w:eastAsia="Calibri"/>
        </w:rPr>
        <w:t>sujetas a la reserva de liquidez</w:t>
      </w:r>
      <w:r>
        <w:rPr>
          <w:rFonts w:eastAsia="Calibri"/>
        </w:rPr>
        <w:t xml:space="preserve">, </w:t>
      </w:r>
      <w:r w:rsidRPr="00E824E4">
        <w:rPr>
          <w:rFonts w:eastAsia="Calibri"/>
        </w:rPr>
        <w:t xml:space="preserve">el monto de esa garantía se calculará </w:t>
      </w:r>
      <w:r>
        <w:rPr>
          <w:rFonts w:eastAsia="Calibri"/>
        </w:rPr>
        <w:t xml:space="preserve">aplicando el 2% al </w:t>
      </w:r>
      <w:r w:rsidRPr="00E824E4">
        <w:rPr>
          <w:rFonts w:eastAsia="Calibri"/>
        </w:rPr>
        <w:t xml:space="preserve">saldo promedio </w:t>
      </w:r>
      <w:r>
        <w:rPr>
          <w:rFonts w:eastAsia="Calibri"/>
        </w:rPr>
        <w:t xml:space="preserve">mensual </w:t>
      </w:r>
      <w:r w:rsidRPr="00E824E4">
        <w:rPr>
          <w:rFonts w:eastAsia="Calibri"/>
        </w:rPr>
        <w:t xml:space="preserve">de pasivos sujetos a </w:t>
      </w:r>
      <w:r>
        <w:rPr>
          <w:rFonts w:eastAsia="Calibri"/>
        </w:rPr>
        <w:t>reser</w:t>
      </w:r>
      <w:r w:rsidR="00921305">
        <w:rPr>
          <w:rFonts w:eastAsia="Calibri"/>
        </w:rPr>
        <w:t>va de liquidez correspondiente al mes anterior, que para el corte de junio de</w:t>
      </w:r>
      <w:r w:rsidR="00066EFD">
        <w:rPr>
          <w:rFonts w:eastAsia="Calibri"/>
        </w:rPr>
        <w:t>l</w:t>
      </w:r>
      <w:r w:rsidR="00921305">
        <w:rPr>
          <w:rFonts w:eastAsia="Calibri"/>
        </w:rPr>
        <w:t xml:space="preserve"> 2021, </w:t>
      </w:r>
      <w:r w:rsidR="00066EFD">
        <w:rPr>
          <w:rFonts w:eastAsia="Calibri"/>
        </w:rPr>
        <w:t xml:space="preserve">sería </w:t>
      </w:r>
      <w:r>
        <w:rPr>
          <w:rFonts w:eastAsia="Calibri"/>
        </w:rPr>
        <w:t xml:space="preserve"> mayo</w:t>
      </w:r>
      <w:r w:rsidR="00921305">
        <w:rPr>
          <w:rFonts w:eastAsia="Calibri"/>
        </w:rPr>
        <w:t xml:space="preserve"> del</w:t>
      </w:r>
      <w:r>
        <w:rPr>
          <w:rFonts w:eastAsia="Calibri"/>
        </w:rPr>
        <w:t xml:space="preserve"> 2021. Este monto deberá ser registrado en la subcuenta </w:t>
      </w:r>
      <w:r w:rsidRPr="0086232F">
        <w:rPr>
          <w:rFonts w:eastAsia="Calibri"/>
        </w:rPr>
        <w:t xml:space="preserve">125.90 </w:t>
      </w:r>
      <w:r w:rsidRPr="0086232F">
        <w:rPr>
          <w:rFonts w:eastAsia="Calibri"/>
          <w:i/>
          <w:iCs/>
        </w:rPr>
        <w:t>Garantía contingente al Fondo de Garantía de Depósitos (FGD) - Reserva de liquidez</w:t>
      </w:r>
      <w:r>
        <w:rPr>
          <w:rFonts w:eastAsia="Calibri"/>
        </w:rPr>
        <w:t xml:space="preserve">. </w:t>
      </w:r>
    </w:p>
    <w:p w:rsidR="00C01FBB" w:rsidP="00C01FBB" w:rsidRDefault="00C01FBB" w14:paraId="5BEDADC6" w14:textId="77777777">
      <w:pPr>
        <w:spacing w:line="240" w:lineRule="auto"/>
        <w:ind w:left="720"/>
        <w:contextualSpacing/>
        <w:rPr>
          <w:rFonts w:eastAsia="Calibri"/>
        </w:rPr>
      </w:pPr>
    </w:p>
    <w:p w:rsidR="00C01FBB" w:rsidP="00C01FBB" w:rsidRDefault="00921305" w14:paraId="483074F3" w14:textId="0E26E264">
      <w:pPr>
        <w:spacing w:line="240" w:lineRule="auto"/>
        <w:ind w:left="720"/>
        <w:contextualSpacing/>
        <w:rPr>
          <w:rFonts w:eastAsia="Calibri"/>
        </w:rPr>
      </w:pPr>
      <w:r>
        <w:rPr>
          <w:rFonts w:eastAsia="Calibri"/>
        </w:rPr>
        <w:lastRenderedPageBreak/>
        <w:t>Con el cuadro que se adjunta infra, se define</w:t>
      </w:r>
      <w:r w:rsidR="00C01FBB">
        <w:rPr>
          <w:rFonts w:eastAsia="Calibri"/>
        </w:rPr>
        <w:t xml:space="preserve"> detalladamente los parámetros a c</w:t>
      </w:r>
      <w:r>
        <w:rPr>
          <w:rFonts w:eastAsia="Calibri"/>
        </w:rPr>
        <w:t>onsiderar para el cálculo de es</w:t>
      </w:r>
      <w:r w:rsidR="00C01FBB">
        <w:rPr>
          <w:rFonts w:eastAsia="Calibri"/>
        </w:rPr>
        <w:t xml:space="preserve">a garantía. </w:t>
      </w:r>
    </w:p>
    <w:p w:rsidR="00C01FBB" w:rsidP="00C01FBB" w:rsidRDefault="00C01FBB" w14:paraId="060356F6" w14:textId="77777777">
      <w:pPr>
        <w:pStyle w:val="Prrafodelista"/>
        <w:spacing w:after="160" w:line="240" w:lineRule="auto"/>
        <w:rPr>
          <w:rFonts w:eastAsia="Calibri"/>
        </w:rPr>
      </w:pPr>
    </w:p>
    <w:p w:rsidRPr="008D00A4" w:rsidR="00C01FBB" w:rsidP="00C01FBB" w:rsidRDefault="00C01FBB" w14:paraId="492BD630" w14:textId="27E9E76B">
      <w:pPr>
        <w:pStyle w:val="Prrafodelista"/>
        <w:numPr>
          <w:ilvl w:val="0"/>
          <w:numId w:val="5"/>
        </w:numPr>
        <w:spacing w:after="160" w:line="240" w:lineRule="auto"/>
        <w:rPr>
          <w:rFonts w:eastAsia="Calibri"/>
        </w:rPr>
      </w:pPr>
      <w:r w:rsidRPr="008D00A4">
        <w:rPr>
          <w:rFonts w:eastAsia="Calibri"/>
          <w:b/>
          <w:bCs/>
        </w:rPr>
        <w:t>Aclaración punto 3:</w:t>
      </w:r>
      <w:r>
        <w:rPr>
          <w:rFonts w:eastAsia="Calibri"/>
        </w:rPr>
        <w:t xml:space="preserve"> </w:t>
      </w:r>
      <w:r w:rsidRPr="008D00A4">
        <w:rPr>
          <w:rFonts w:eastAsia="Calibri"/>
        </w:rPr>
        <w:t>Las entidades sujetas al requerimiento de reserva de liquidez, en moneda nacional, deberán mantener, como garantía para el Fondo de Garantía de Depósitos, en el Fideicomiso de Garantías de</w:t>
      </w:r>
      <w:r w:rsidR="00921305">
        <w:rPr>
          <w:rFonts w:eastAsia="Calibri"/>
        </w:rPr>
        <w:t>l Sistema de Pagos, únicamente bonos de estabilización m</w:t>
      </w:r>
      <w:r w:rsidRPr="008D00A4">
        <w:rPr>
          <w:rFonts w:eastAsia="Calibri"/>
        </w:rPr>
        <w:t>onetaria.</w:t>
      </w:r>
      <w:r w:rsidRPr="008D00A4" w:rsidDel="00603E2F">
        <w:rPr>
          <w:rFonts w:eastAsia="Calibri"/>
        </w:rPr>
        <w:t xml:space="preserve"> </w:t>
      </w:r>
      <w:r w:rsidRPr="008D00A4">
        <w:rPr>
          <w:rFonts w:eastAsia="Calibri"/>
        </w:rPr>
        <w:t xml:space="preserve"> </w:t>
      </w:r>
    </w:p>
    <w:p w:rsidR="00C01FBB" w:rsidP="00C01FBB" w:rsidRDefault="00C01FBB" w14:paraId="31C4B978" w14:textId="77777777">
      <w:pPr>
        <w:pStyle w:val="Prrafodelista"/>
        <w:spacing w:after="160" w:line="240" w:lineRule="auto"/>
        <w:rPr>
          <w:rFonts w:eastAsia="Calibri"/>
        </w:rPr>
      </w:pPr>
    </w:p>
    <w:p w:rsidRPr="00A257A3" w:rsidR="00C01FBB" w:rsidP="00C01FBB" w:rsidRDefault="00C01FBB" w14:paraId="630BF5C0" w14:textId="79F6431F">
      <w:pPr>
        <w:pStyle w:val="Prrafodelista"/>
        <w:spacing w:after="160" w:line="240" w:lineRule="auto"/>
        <w:rPr>
          <w:rFonts w:eastAsia="Calibri"/>
        </w:rPr>
      </w:pPr>
      <w:r w:rsidRPr="00A257A3">
        <w:rPr>
          <w:rFonts w:eastAsia="Calibri"/>
        </w:rPr>
        <w:t xml:space="preserve">Las entidades sujetas al requerimiento de reserva de liquidez, en moneda extranjera, podrán mantener, como garantía para el Fondo de Garantía de Depósitos, en el Fideicomiso de Garantías del Sistema de Pagos, títulos admitidos como reserva de liquidez según las Regulaciones de Política Monetaria y que sean </w:t>
      </w:r>
      <w:r w:rsidR="00122674">
        <w:rPr>
          <w:rFonts w:eastAsia="Calibri"/>
        </w:rPr>
        <w:t>aceptados</w:t>
      </w:r>
      <w:r w:rsidRPr="00A257A3">
        <w:rPr>
          <w:rFonts w:eastAsia="Calibri"/>
        </w:rPr>
        <w:t xml:space="preserve"> en el Fideicomiso de Garantías del Sistema de Pagos.</w:t>
      </w:r>
    </w:p>
    <w:p w:rsidR="00C01FBB" w:rsidP="00C01FBB" w:rsidRDefault="00C01FBB" w14:paraId="5CDFB9B0" w14:textId="77777777">
      <w:pPr>
        <w:pStyle w:val="Prrafodelista"/>
        <w:spacing w:after="160" w:line="240" w:lineRule="auto"/>
        <w:rPr>
          <w:rFonts w:eastAsia="Calibri"/>
        </w:rPr>
      </w:pPr>
    </w:p>
    <w:p w:rsidRPr="008D00A4" w:rsidR="00C01FBB" w:rsidP="00C01FBB" w:rsidRDefault="00C01FBB" w14:paraId="0DE38735" w14:textId="1D1C5B76">
      <w:pPr>
        <w:pStyle w:val="Prrafodelista"/>
        <w:numPr>
          <w:ilvl w:val="0"/>
          <w:numId w:val="6"/>
        </w:numPr>
        <w:spacing w:after="160" w:line="240" w:lineRule="auto"/>
        <w:rPr>
          <w:rFonts w:eastAsia="Calibri"/>
        </w:rPr>
      </w:pPr>
      <w:r w:rsidRPr="008D00A4">
        <w:rPr>
          <w:rFonts w:eastAsia="Calibri"/>
          <w:b/>
          <w:bCs/>
        </w:rPr>
        <w:t>Aclaración punto 7:</w:t>
      </w:r>
      <w:r>
        <w:rPr>
          <w:rFonts w:eastAsia="Calibri"/>
        </w:rPr>
        <w:t xml:space="preserve"> </w:t>
      </w:r>
      <w:r w:rsidRPr="008D00A4">
        <w:rPr>
          <w:rFonts w:eastAsia="Calibri"/>
        </w:rPr>
        <w:t>El monto de garantía, para el Fondo de Garantía de Depósitos, en el Fideicomiso de Garantías del Sistema de Pagos, deberá mantenerse</w:t>
      </w:r>
      <w:r w:rsidR="00122674">
        <w:rPr>
          <w:rFonts w:eastAsia="Calibri"/>
        </w:rPr>
        <w:t xml:space="preserve"> y contabilizarse</w:t>
      </w:r>
      <w:r w:rsidRPr="008D00A4">
        <w:rPr>
          <w:rFonts w:eastAsia="Calibri"/>
        </w:rPr>
        <w:t xml:space="preserve"> mensualmente</w:t>
      </w:r>
      <w:r w:rsidR="00122674">
        <w:rPr>
          <w:rFonts w:eastAsia="Calibri"/>
        </w:rPr>
        <w:t>,</w:t>
      </w:r>
      <w:r w:rsidRPr="008D00A4">
        <w:rPr>
          <w:rFonts w:eastAsia="Calibri"/>
        </w:rPr>
        <w:t xml:space="preserve"> y se calculará considerando los siguientes parámetros:  </w:t>
      </w:r>
    </w:p>
    <w:p w:rsidRPr="007B1C8F" w:rsidR="00C01FBB" w:rsidP="00C01FBB" w:rsidRDefault="00C01FBB" w14:paraId="6CC6AFCD" w14:textId="77777777">
      <w:pPr>
        <w:spacing w:after="160" w:line="240" w:lineRule="auto"/>
        <w:ind w:left="720"/>
        <w:contextualSpacing/>
        <w:rPr>
          <w:rFonts w:eastAsia="Calibri"/>
        </w:rPr>
      </w:pPr>
    </w:p>
    <w:p w:rsidRPr="007B1C8F" w:rsidR="00C01FBB" w:rsidP="00C01FBB" w:rsidRDefault="00C01FBB" w14:paraId="1D534A7B" w14:textId="77777777">
      <w:pPr>
        <w:ind w:left="360"/>
        <w:contextualSpacing/>
        <w:rPr>
          <w:rFonts w:eastAsia="Calibri"/>
          <w:sz w:val="12"/>
          <w:szCs w:val="12"/>
        </w:rPr>
      </w:pPr>
    </w:p>
    <w:p w:rsidR="00C01FBB" w:rsidP="00C01FBB" w:rsidRDefault="00C01FBB" w14:paraId="1F5CFFAA" w14:textId="77777777">
      <w:pPr>
        <w:spacing w:line="240" w:lineRule="auto"/>
        <w:ind w:left="720"/>
        <w:contextualSpacing/>
        <w:rPr>
          <w:szCs w:val="22"/>
        </w:rPr>
      </w:pPr>
      <w:r w:rsidRPr="001437C8">
        <w:rPr>
          <w:noProof/>
          <w:lang w:val="es-CR" w:eastAsia="es-CR"/>
        </w:rPr>
        <w:drawing>
          <wp:inline distT="0" distB="0" distL="0" distR="0" wp14:anchorId="4BB9B6FB" wp14:editId="2EADA476">
            <wp:extent cx="5635059" cy="3487003"/>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4226" cy="3498864"/>
                    </a:xfrm>
                    <a:prstGeom prst="rect">
                      <a:avLst/>
                    </a:prstGeom>
                    <a:noFill/>
                    <a:ln>
                      <a:noFill/>
                    </a:ln>
                  </pic:spPr>
                </pic:pic>
              </a:graphicData>
            </a:graphic>
          </wp:inline>
        </w:drawing>
      </w:r>
    </w:p>
    <w:p w:rsidR="00C01FBB" w:rsidP="00C01FBB" w:rsidRDefault="00C01FBB" w14:paraId="4DC8F253" w14:textId="77777777">
      <w:pPr>
        <w:spacing w:line="240" w:lineRule="auto"/>
        <w:ind w:left="720"/>
        <w:contextualSpacing/>
        <w:rPr>
          <w:szCs w:val="22"/>
        </w:rPr>
      </w:pPr>
    </w:p>
    <w:p w:rsidR="00C01FBB" w:rsidP="00C01FBB" w:rsidRDefault="00C01FBB" w14:paraId="310544A0" w14:textId="3A991F88">
      <w:pPr>
        <w:pStyle w:val="Prrafodelista"/>
        <w:numPr>
          <w:ilvl w:val="0"/>
          <w:numId w:val="6"/>
        </w:numPr>
        <w:spacing w:after="160" w:line="240" w:lineRule="auto"/>
        <w:rPr>
          <w:rFonts w:eastAsia="Calibri"/>
        </w:rPr>
      </w:pPr>
      <w:r>
        <w:rPr>
          <w:rFonts w:eastAsia="Calibri"/>
        </w:rPr>
        <w:t>En caso de consultas sobre el encaje mínimo legal o reserva de liquidez, las entidades pueden con</w:t>
      </w:r>
      <w:r w:rsidR="0090351B">
        <w:rPr>
          <w:rFonts w:eastAsia="Calibri"/>
        </w:rPr>
        <w:t>tactar al señor Eddy Castro Alpí</w:t>
      </w:r>
      <w:r>
        <w:rPr>
          <w:rFonts w:eastAsia="Calibri"/>
        </w:rPr>
        <w:t xml:space="preserve">zar, al correo electrónico </w:t>
      </w:r>
      <w:hyperlink w:history="1" r:id="rId14">
        <w:r w:rsidRPr="00A07799">
          <w:rPr>
            <w:rStyle w:val="Hipervnculo"/>
            <w:rFonts w:eastAsia="Calibri"/>
          </w:rPr>
          <w:t>castroae@bccr.fi.cr</w:t>
        </w:r>
      </w:hyperlink>
      <w:r>
        <w:rPr>
          <w:rFonts w:eastAsia="Calibri"/>
        </w:rPr>
        <w:t xml:space="preserve"> o bien a su número celular: 8399-7030.</w:t>
      </w:r>
      <w:bookmarkStart w:name="_Hlk74759681" w:id="1"/>
    </w:p>
    <w:p w:rsidR="00C01FBB" w:rsidP="00C01FBB" w:rsidRDefault="00C01FBB" w14:paraId="32268C3C" w14:textId="77777777">
      <w:pPr>
        <w:pStyle w:val="Prrafodelista"/>
        <w:spacing w:after="160" w:line="240" w:lineRule="auto"/>
        <w:rPr>
          <w:rFonts w:eastAsia="Calibri"/>
        </w:rPr>
      </w:pPr>
    </w:p>
    <w:p w:rsidR="00C01FBB" w:rsidP="00C01FBB" w:rsidRDefault="00C01FBB" w14:paraId="0BDEB909" w14:textId="77777777">
      <w:pPr>
        <w:pStyle w:val="Prrafodelista"/>
        <w:spacing w:after="160" w:line="240" w:lineRule="auto"/>
        <w:rPr>
          <w:rFonts w:eastAsia="Calibri"/>
        </w:rPr>
      </w:pPr>
    </w:p>
    <w:p w:rsidRPr="0059117B" w:rsidR="00C01FBB" w:rsidP="00C01FBB" w:rsidRDefault="00C01FBB" w14:paraId="7A6D3C92" w14:textId="32A1E6E9">
      <w:pPr>
        <w:pStyle w:val="Prrafodelista"/>
        <w:numPr>
          <w:ilvl w:val="0"/>
          <w:numId w:val="6"/>
        </w:numPr>
        <w:spacing w:after="160" w:line="240" w:lineRule="auto"/>
        <w:rPr>
          <w:rFonts w:eastAsia="Calibri"/>
        </w:rPr>
      </w:pPr>
      <w:r w:rsidRPr="0059117B">
        <w:rPr>
          <w:rFonts w:eastAsia="Calibri"/>
        </w:rPr>
        <w:lastRenderedPageBreak/>
        <w:t>Adicionalmente</w:t>
      </w:r>
      <w:r w:rsidR="00122674">
        <w:rPr>
          <w:rFonts w:eastAsia="Calibri"/>
        </w:rPr>
        <w:t>,</w:t>
      </w:r>
      <w:r w:rsidRPr="0059117B">
        <w:rPr>
          <w:rFonts w:eastAsia="Calibri"/>
        </w:rPr>
        <w:t xml:space="preserve"> se les informa a las entidades que</w:t>
      </w:r>
      <w:r w:rsidR="00122674">
        <w:rPr>
          <w:rFonts w:eastAsia="Calibri"/>
        </w:rPr>
        <w:t>,</w:t>
      </w:r>
      <w:r w:rsidRPr="0059117B">
        <w:rPr>
          <w:rFonts w:eastAsia="Calibri"/>
        </w:rPr>
        <w:t xml:space="preserve"> para solventar consultas sobre cómo gestionar el trámite de inscripción al</w:t>
      </w:r>
      <w:r w:rsidR="00F0204F">
        <w:rPr>
          <w:rFonts w:eastAsia="Calibri"/>
        </w:rPr>
        <w:t xml:space="preserve"> </w:t>
      </w:r>
      <w:r w:rsidRPr="00C27A36" w:rsidR="00F0204F">
        <w:rPr>
          <w:rFonts w:eastAsia="Calibri"/>
          <w:szCs w:val="22"/>
          <w:lang w:val="es-CR"/>
        </w:rPr>
        <w:t>Sistema Nacional de Pagos Electrónicos</w:t>
      </w:r>
      <w:r w:rsidRPr="0059117B">
        <w:rPr>
          <w:rFonts w:eastAsia="Calibri"/>
        </w:rPr>
        <w:t xml:space="preserve"> </w:t>
      </w:r>
      <w:r w:rsidR="00F0204F">
        <w:rPr>
          <w:rFonts w:eastAsia="Calibri"/>
        </w:rPr>
        <w:t>(</w:t>
      </w:r>
      <w:r w:rsidRPr="0059117B">
        <w:rPr>
          <w:rFonts w:eastAsia="Calibri"/>
        </w:rPr>
        <w:t>Sinpe</w:t>
      </w:r>
      <w:r w:rsidR="00F0204F">
        <w:rPr>
          <w:rFonts w:eastAsia="Calibri"/>
        </w:rPr>
        <w:t>)</w:t>
      </w:r>
      <w:r w:rsidRPr="0059117B">
        <w:rPr>
          <w:rFonts w:eastAsia="Calibri"/>
        </w:rPr>
        <w:t xml:space="preserve"> y</w:t>
      </w:r>
      <w:r w:rsidR="0090351B">
        <w:rPr>
          <w:rFonts w:eastAsia="Calibri"/>
        </w:rPr>
        <w:t xml:space="preserve"> al</w:t>
      </w:r>
      <w:r w:rsidRPr="0059117B">
        <w:rPr>
          <w:rFonts w:eastAsia="Calibri"/>
        </w:rPr>
        <w:t xml:space="preserve"> Fideicomiso</w:t>
      </w:r>
      <w:r w:rsidR="0090351B">
        <w:rPr>
          <w:rFonts w:eastAsia="Calibri"/>
        </w:rPr>
        <w:t xml:space="preserve"> dicho</w:t>
      </w:r>
      <w:r w:rsidRPr="0059117B">
        <w:rPr>
          <w:rFonts w:eastAsia="Calibri"/>
        </w:rPr>
        <w:t>, así como para consultas sobre la utilización de la herramienta, pueden comunicarse a</w:t>
      </w:r>
      <w:r>
        <w:rPr>
          <w:rFonts w:eastAsia="Calibri"/>
        </w:rPr>
        <w:t xml:space="preserve">l correo </w:t>
      </w:r>
      <w:r w:rsidRPr="0059117B">
        <w:rPr>
          <w:rFonts w:eastAsia="Calibri"/>
        </w:rPr>
        <w:t>electrónic</w:t>
      </w:r>
      <w:r>
        <w:rPr>
          <w:rFonts w:eastAsia="Calibri"/>
        </w:rPr>
        <w:t>o</w:t>
      </w:r>
      <w:r w:rsidRPr="0059117B">
        <w:rPr>
          <w:rFonts w:eastAsia="Calibri"/>
        </w:rPr>
        <w:t xml:space="preserve"> </w:t>
      </w:r>
      <w:hyperlink w:history="1" r:id="rId15">
        <w:r w:rsidRPr="0059117B">
          <w:rPr>
            <w:rStyle w:val="Hipervnculo"/>
            <w:rFonts w:eastAsia="Calibri"/>
          </w:rPr>
          <w:t>atencionalcliente@bccr.fi.cr</w:t>
        </w:r>
      </w:hyperlink>
      <w:r w:rsidRPr="00066EFD">
        <w:rPr>
          <w:rStyle w:val="Hipervnculo"/>
          <w:rFonts w:eastAsia="Calibri"/>
          <w:u w:val="none"/>
        </w:rPr>
        <w:t xml:space="preserve"> </w:t>
      </w:r>
      <w:r w:rsidRPr="0059117B">
        <w:rPr>
          <w:rFonts w:eastAsia="Calibri"/>
        </w:rPr>
        <w:t>o bien al número telefónico 2243-4000.  En el caso de las entidades suscritas a la plataforma del SINPE, pueden acceder desde e</w:t>
      </w:r>
      <w:r w:rsidR="0090351B">
        <w:rPr>
          <w:rFonts w:eastAsia="Calibri"/>
        </w:rPr>
        <w:t>l nodo Sinpe</w:t>
      </w:r>
      <w:r w:rsidRPr="0059117B">
        <w:rPr>
          <w:rFonts w:eastAsia="Calibri"/>
        </w:rPr>
        <w:t xml:space="preserve"> o </w:t>
      </w:r>
      <w:r w:rsidR="00122674">
        <w:rPr>
          <w:rFonts w:eastAsia="Calibri"/>
        </w:rPr>
        <w:t>a</w:t>
      </w:r>
      <w:r w:rsidRPr="0059117B">
        <w:rPr>
          <w:rFonts w:eastAsia="Calibri"/>
        </w:rPr>
        <w:t>l sitio WEB-BCCR</w:t>
      </w:r>
      <w:r w:rsidR="00122674">
        <w:rPr>
          <w:rFonts w:eastAsia="Calibri"/>
        </w:rPr>
        <w:t>,</w:t>
      </w:r>
      <w:r w:rsidRPr="0059117B">
        <w:rPr>
          <w:rFonts w:eastAsia="Calibri"/>
        </w:rPr>
        <w:t xml:space="preserve"> donde es necesario autenticarse con firma digital.</w:t>
      </w:r>
    </w:p>
    <w:bookmarkEnd w:id="1"/>
    <w:p w:rsidR="00122674" w:rsidP="006972C9" w:rsidRDefault="00122674" w14:paraId="77E7A829" w14:textId="77777777">
      <w:pPr>
        <w:pStyle w:val="Texto"/>
        <w:spacing w:before="0" w:after="0" w:line="240" w:lineRule="auto"/>
        <w:rPr>
          <w:sz w:val="24"/>
        </w:rPr>
      </w:pPr>
    </w:p>
    <w:p w:rsidRPr="002E2B0A" w:rsidR="006972C9" w:rsidP="006972C9" w:rsidRDefault="00122674" w14:paraId="2BF340C8" w14:textId="371FB31B">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445657D8" wp14:anchorId="7BF73F9B">
            <wp:simplePos x="0" y="0"/>
            <wp:positionH relativeFrom="column">
              <wp:posOffset>-163830</wp:posOffset>
            </wp:positionH>
            <wp:positionV relativeFrom="paragraph">
              <wp:posOffset>195580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Pr="002E2B0A" w:rsidR="006972C9" w:rsidP="006972C9" w:rsidRDefault="006972C9" w14:paraId="2E090EE6" w14:textId="13BC3A92">
      <w:pPr>
        <w:spacing w:line="240" w:lineRule="auto"/>
        <w:rPr>
          <w:sz w:val="24"/>
        </w:rPr>
      </w:pPr>
    </w:p>
    <w:p w:rsidR="00DB50AF" w:rsidP="006972C9" w:rsidRDefault="00DB50AF" w14:paraId="2C8D6A05" w14:textId="547FCD49">
      <w:pPr>
        <w:pStyle w:val="Negrita"/>
        <w:jc w:val="left"/>
        <w:rPr>
          <w:b w:val="0"/>
          <w:sz w:val="24"/>
        </w:rPr>
      </w:pPr>
    </w:p>
    <w:p w:rsidRPr="00111293" w:rsidR="008B3362" w:rsidP="008B3362" w:rsidRDefault="008B3362" w14:paraId="4828FAD6" w14:textId="5E518A1E">
      <w:pPr>
        <w:jc w:val="left"/>
        <w:rPr>
          <w:sz w:val="24"/>
        </w:rPr>
      </w:pPr>
      <w:r w:rsidRPr="00111293">
        <w:rPr>
          <w:sz w:val="24"/>
        </w:rPr>
        <w:t>Rocío Aguilar Montoya</w:t>
      </w:r>
      <w:r w:rsidRPr="00111293">
        <w:rPr>
          <w:sz w:val="24"/>
        </w:rPr>
        <w:br/>
      </w:r>
      <w:r w:rsidRPr="00111293">
        <w:rPr>
          <w:b/>
          <w:bCs/>
          <w:sz w:val="24"/>
        </w:rPr>
        <w:t>Superintendente General</w:t>
      </w:r>
    </w:p>
    <w:p w:rsidRPr="0051485F" w:rsidR="008B3362" w:rsidP="006972C9" w:rsidRDefault="008B3362" w14:paraId="672BC659" w14:textId="61EAF077">
      <w:pPr>
        <w:pStyle w:val="Negrita"/>
        <w:jc w:val="left"/>
        <w:rPr>
          <w:noProof/>
          <w:lang w:eastAsia="es-CR"/>
        </w:rPr>
      </w:pPr>
    </w:p>
    <w:p w:rsidRPr="00C27A36" w:rsidR="00122674" w:rsidP="00122674" w:rsidRDefault="00122674" w14:paraId="6C1FBF6E" w14:textId="22266698">
      <w:pPr>
        <w:jc w:val="left"/>
        <w:rPr>
          <w:sz w:val="18"/>
          <w:szCs w:val="18"/>
        </w:rPr>
      </w:pPr>
      <w:r w:rsidRPr="00C27A36">
        <w:rPr>
          <w:sz w:val="18"/>
          <w:szCs w:val="18"/>
        </w:rPr>
        <w:t>MHA/MAC/pjp</w:t>
      </w:r>
    </w:p>
    <w:p w:rsidR="006972C9" w:rsidP="006972C9" w:rsidRDefault="006972C9" w14:paraId="44066DF1" w14:textId="38B31A1D">
      <w:pPr>
        <w:pStyle w:val="Negrita"/>
      </w:pPr>
    </w:p>
    <w:p w:rsidR="006972C9" w:rsidP="006972C9" w:rsidRDefault="006972C9" w14:paraId="45B49D81" w14:textId="77777777">
      <w:pPr>
        <w:pStyle w:val="Negrita"/>
      </w:pPr>
    </w:p>
    <w:p w:rsidR="006972C9" w:rsidP="006972C9" w:rsidRDefault="006972C9" w14:paraId="3D0B275E" w14:textId="77777777">
      <w:pPr>
        <w:pStyle w:val="Negrita"/>
      </w:pPr>
    </w:p>
    <w:p w:rsidR="006972C9" w:rsidP="006972C9" w:rsidRDefault="006972C9" w14:paraId="6FF22241" w14:textId="77777777">
      <w:pPr>
        <w:pStyle w:val="Negrita"/>
      </w:pPr>
    </w:p>
    <w:p w:rsidRPr="006972C9" w:rsidR="006972C9" w:rsidP="006972C9" w:rsidRDefault="006972C9" w14:paraId="5549A5FD" w14:textId="77777777"/>
    <w:p w:rsidRPr="006972C9" w:rsidR="006972C9" w:rsidP="006972C9" w:rsidRDefault="006972C9" w14:paraId="0571AE16" w14:textId="77777777"/>
    <w:p w:rsidRPr="006972C9" w:rsidR="006972C9" w:rsidP="006972C9" w:rsidRDefault="006972C9" w14:paraId="753026EE" w14:textId="77777777"/>
    <w:p w:rsidRPr="006972C9" w:rsidR="006972C9" w:rsidP="006972C9" w:rsidRDefault="006972C9" w14:paraId="5352675B" w14:textId="77777777"/>
    <w:p w:rsidRPr="006972C9" w:rsidR="00AF06C5" w:rsidP="006972C9" w:rsidRDefault="006972C9" w14:paraId="1B53E14E" w14:textId="77777777">
      <w:pPr>
        <w:tabs>
          <w:tab w:val="left" w:pos="7187"/>
        </w:tabs>
      </w:pPr>
      <w:r>
        <w:tab/>
      </w:r>
    </w:p>
    <w:sectPr w:rsidRPr="006972C9" w:rsidR="00AF06C5">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6F0D8" w14:textId="77777777" w:rsidR="00A80F30" w:rsidRDefault="00A80F30" w:rsidP="009349F3">
      <w:pPr>
        <w:spacing w:line="240" w:lineRule="auto"/>
      </w:pPr>
      <w:r>
        <w:separator/>
      </w:r>
    </w:p>
  </w:endnote>
  <w:endnote w:type="continuationSeparator" w:id="0">
    <w:p w14:paraId="116F1852" w14:textId="77777777" w:rsidR="00A80F30" w:rsidRDefault="00A80F3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4D4520B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E20E128" w14:textId="77777777">
      <w:tc>
        <w:tcPr>
          <w:tcW w:w="2942" w:type="dxa"/>
        </w:tcPr>
        <w:p w:rsidR="00517D62" w:rsidRDefault="00517D62" w14:paraId="1DECA1A3"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A01BE5D"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4FF0A896" w14:textId="77777777">
          <w:pPr>
            <w:pStyle w:val="Piedepgina"/>
            <w:rPr>
              <w:b/>
              <w:color w:val="7F7F7F" w:themeColor="text1" w:themeTint="80"/>
              <w:sz w:val="16"/>
              <w:szCs w:val="16"/>
            </w:rPr>
          </w:pPr>
        </w:p>
      </w:tc>
      <w:tc>
        <w:tcPr>
          <w:tcW w:w="2943" w:type="dxa"/>
        </w:tcPr>
        <w:p w:rsidRPr="009349F3" w:rsidR="00517D62" w:rsidP="00855792" w:rsidRDefault="00517D62" w14:paraId="5E80622D"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E43307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2A7101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066EF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E6A61D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4A918C4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B02DE" w14:textId="77777777" w:rsidR="00A80F30" w:rsidRDefault="00A80F30" w:rsidP="009349F3">
      <w:pPr>
        <w:spacing w:line="240" w:lineRule="auto"/>
      </w:pPr>
      <w:r>
        <w:separator/>
      </w:r>
    </w:p>
  </w:footnote>
  <w:footnote w:type="continuationSeparator" w:id="0">
    <w:p w14:paraId="7A17D050" w14:textId="77777777" w:rsidR="00A80F30" w:rsidRDefault="00A80F30"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45B642D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4E24E67B" w14:textId="77777777">
    <w:pPr>
      <w:pStyle w:val="Encabezado"/>
    </w:pPr>
    <w:r>
      <w:ptab w:alignment="center" w:relativeTo="margin" w:leader="none"/>
    </w:r>
    <w:r>
      <w:rPr>
        <w:noProof/>
        <w:lang w:val="es-CR" w:eastAsia="es-CR"/>
      </w:rPr>
      <w:drawing>
        <wp:inline distT="0" distB="0" distL="0" distR="0" wp14:anchorId="6FC6DB78" wp14:editId="3ADE8B2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576F62B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D8E0D66"/>
    <w:multiLevelType w:val="hybridMultilevel"/>
    <w:tmpl w:val="86107A2A"/>
    <w:lvl w:ilvl="0" w:tplc="140A0001">
      <w:start w:val="1"/>
      <w:numFmt w:val="bullet"/>
      <w:lvlText w:val=""/>
      <w:lvlJc w:val="left"/>
      <w:pPr>
        <w:ind w:left="720" w:hanging="360"/>
      </w:pPr>
      <w:rPr>
        <w:rFonts w:ascii="Symbol" w:hAnsi="Symbol"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5D21E23"/>
    <w:multiLevelType w:val="hybridMultilevel"/>
    <w:tmpl w:val="DAA6C260"/>
    <w:lvl w:ilvl="0" w:tplc="140A0001">
      <w:start w:val="1"/>
      <w:numFmt w:val="bullet"/>
      <w:lvlText w:val=""/>
      <w:lvlJc w:val="left"/>
      <w:pPr>
        <w:ind w:left="720" w:hanging="360"/>
      </w:pPr>
      <w:rPr>
        <w:rFonts w:ascii="Symbol" w:hAnsi="Symbol"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9422B2C"/>
    <w:multiLevelType w:val="hybridMultilevel"/>
    <w:tmpl w:val="F866FDF6"/>
    <w:lvl w:ilvl="0" w:tplc="140A0001">
      <w:start w:val="1"/>
      <w:numFmt w:val="bullet"/>
      <w:lvlText w:val=""/>
      <w:lvlJc w:val="left"/>
      <w:pPr>
        <w:ind w:left="720" w:hanging="360"/>
      </w:pPr>
      <w:rPr>
        <w:rFonts w:ascii="Symbol" w:hAnsi="Symbol"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30"/>
    <w:rsid w:val="00043F58"/>
    <w:rsid w:val="00066EFD"/>
    <w:rsid w:val="00122674"/>
    <w:rsid w:val="0051485F"/>
    <w:rsid w:val="00517D62"/>
    <w:rsid w:val="005545BC"/>
    <w:rsid w:val="006972C9"/>
    <w:rsid w:val="008200B7"/>
    <w:rsid w:val="00855792"/>
    <w:rsid w:val="008B3362"/>
    <w:rsid w:val="00900B79"/>
    <w:rsid w:val="0090351B"/>
    <w:rsid w:val="00921305"/>
    <w:rsid w:val="009349F3"/>
    <w:rsid w:val="00A80F30"/>
    <w:rsid w:val="00AF06C5"/>
    <w:rsid w:val="00B00D3C"/>
    <w:rsid w:val="00B7752A"/>
    <w:rsid w:val="00C01FBB"/>
    <w:rsid w:val="00C21A88"/>
    <w:rsid w:val="00D530BE"/>
    <w:rsid w:val="00DB50AF"/>
    <w:rsid w:val="00DD402E"/>
    <w:rsid w:val="00DE2D06"/>
    <w:rsid w:val="00F0204F"/>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9C3481"/>
  <w15:chartTrackingRefBased/>
  <w15:docId w15:val="{3A63A31C-DA40-46AE-BEC4-10145001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paragraph" w:styleId="Prrafodelista">
    <w:name w:val="List Paragraph"/>
    <w:basedOn w:val="Normal"/>
    <w:uiPriority w:val="34"/>
    <w:qFormat/>
    <w:rsid w:val="00C01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atencionalcliente@bccr.fi.c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stroae@bccr.fi.c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C0A76AA5CC4C268144CAD4BA2B139F"/>
        <w:category>
          <w:name w:val="General"/>
          <w:gallery w:val="placeholder"/>
        </w:category>
        <w:types>
          <w:type w:val="bbPlcHdr"/>
        </w:types>
        <w:behaviors>
          <w:behavior w:val="content"/>
        </w:behaviors>
        <w:guid w:val="{ECF8D489-7762-43DE-B4AF-6A32523D13BA}"/>
      </w:docPartPr>
      <w:docPartBody>
        <w:p w:rsidR="000F79C7" w:rsidRDefault="000F79C7">
          <w:pPr>
            <w:pStyle w:val="1DC0A76AA5CC4C268144CAD4BA2B139F"/>
          </w:pPr>
          <w:r w:rsidRPr="001E0779">
            <w:rPr>
              <w:rStyle w:val="Textodelmarcadordeposicin"/>
            </w:rPr>
            <w:t>Haga clic aquí para escribir texto.</w:t>
          </w:r>
        </w:p>
      </w:docPartBody>
    </w:docPart>
    <w:docPart>
      <w:docPartPr>
        <w:name w:val="AEB2DB8A534A421BAD50CA16E9C25B8B"/>
        <w:category>
          <w:name w:val="General"/>
          <w:gallery w:val="placeholder"/>
        </w:category>
        <w:types>
          <w:type w:val="bbPlcHdr"/>
        </w:types>
        <w:behaviors>
          <w:behavior w:val="content"/>
        </w:behaviors>
        <w:guid w:val="{75F427DD-1C95-4BD2-B0B1-6EB2327DDCA8}"/>
      </w:docPartPr>
      <w:docPartBody>
        <w:p w:rsidR="000F79C7" w:rsidRDefault="000F79C7">
          <w:pPr>
            <w:pStyle w:val="AEB2DB8A534A421BAD50CA16E9C25B8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C7"/>
    <w:rsid w:val="000F79C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DC0A76AA5CC4C268144CAD4BA2B139F">
    <w:name w:val="1DC0A76AA5CC4C268144CAD4BA2B139F"/>
  </w:style>
  <w:style w:type="paragraph" w:customStyle="1" w:styleId="AEB2DB8A534A421BAD50CA16E9C25B8B">
    <w:name w:val="AEB2DB8A534A421BAD50CA16E9C25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XVv0H0imUzW6vccMbxh6setlrFZnt/1MCXylrkAa/9M=</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KF2vTT+Qi2kS7yaRHjTP9z0B9UhdHJM19BqMH7M4GjQ=</DigestValue>
    </Reference>
  </SignedInfo>
  <SignatureValue>C+6DYV4BA27idqptoM9kmTddhHBZPC+2PvW+CIe6W8u3o8SDcYlIhStjDoH4EDcByESB4UW9E4wP
6Ynb4q7UNy41ci3P9VVe4s1qEQwbb1Zv8MP2ZbvPvMUXk0FQ3BaK9PjHfDpl18E2p2zTvYz7q/85
aFZ8+MYPI0vyrjD/OpPBrOZ2iHL6Apg9bRFaqEiBtiVz/VVOZKMIPd4OmAvkQmmGrhh1oanzH6Ee
IEBiTSWklkjdpoFxgl9fPLmHT5aJeEYI03XUW9M70PiGwv04TiYvmo/kT5k5ii4FLk9DsH/y+nHu
YQe3nreHvqPZjqLrDzHjZzqjA09SwFmLvjVMYg==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EK2kbEqXQrTxZLYhK3prEazzLeO/wJ8X0YYCdEwmPkY=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RY//r/ygcmbRmMlLDBQLcNNo8Eyz4zMVlT7bPXm9mOo=</DigestValue>
      </Reference>
      <Reference URI="/word/endnotes.xml?ContentType=application/vnd.openxmlformats-officedocument.wordprocessingml.endnotes+xml">
        <DigestMethod Algorithm="http://www.w3.org/2001/04/xmlenc#sha256"/>
        <DigestValue>RmTOThSOHAncgTMao7mERBhvQPFjkSq4BiTqZdC3aVQ=</DigestValue>
      </Reference>
      <Reference URI="/word/fontTable.xml?ContentType=application/vnd.openxmlformats-officedocument.wordprocessingml.fontTable+xml">
        <DigestMethod Algorithm="http://www.w3.org/2001/04/xmlenc#sha256"/>
        <DigestValue>WX4LDUTXAWeTHMJem+tHR5CkXxYb60QXJ2WDOOw1YlQ=</DigestValue>
      </Reference>
      <Reference URI="/word/footer1.xml?ContentType=application/vnd.openxmlformats-officedocument.wordprocessingml.footer+xml">
        <DigestMethod Algorithm="http://www.w3.org/2001/04/xmlenc#sha256"/>
        <DigestValue>YGhG8K0yx2D3F8iWjioJvyqd5+vkwPQWxtbUfYZyjP0=</DigestValue>
      </Reference>
      <Reference URI="/word/footer2.xml?ContentType=application/vnd.openxmlformats-officedocument.wordprocessingml.footer+xml">
        <DigestMethod Algorithm="http://www.w3.org/2001/04/xmlenc#sha256"/>
        <DigestValue>7zG2XpPtIrbAafsxFb0c4sSglt1mXElHy9G8RMQYLS4=</DigestValue>
      </Reference>
      <Reference URI="/word/footer3.xml?ContentType=application/vnd.openxmlformats-officedocument.wordprocessingml.footer+xml">
        <DigestMethod Algorithm="http://www.w3.org/2001/04/xmlenc#sha256"/>
        <DigestValue>phKspeQfbsAze+Z55TzGn0QscwRfKeLPQlT9zkOO7J4=</DigestValue>
      </Reference>
      <Reference URI="/word/footnotes.xml?ContentType=application/vnd.openxmlformats-officedocument.wordprocessingml.footnotes+xml">
        <DigestMethod Algorithm="http://www.w3.org/2001/04/xmlenc#sha256"/>
        <DigestValue>5D2/VHGTqpSolBLvOvHQPCUVvW+HP5UjfvgPJCTKQVw=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ZBOUUsFxrRkEPTk4KQq24EQu8Qk611xN+CA4rMg5nlA=</DigestValue>
      </Reference>
      <Reference URI="/word/glossary/fontTable.xml?ContentType=application/vnd.openxmlformats-officedocument.wordprocessingml.fontTable+xml">
        <DigestMethod Algorithm="http://www.w3.org/2001/04/xmlenc#sha256"/>
        <DigestValue>WX4LDUTXAWeTHMJem+tHR5CkXxYb60QXJ2WDOOw1YlQ=</DigestValue>
      </Reference>
      <Reference URI="/word/glossary/settings.xml?ContentType=application/vnd.openxmlformats-officedocument.wordprocessingml.settings+xml">
        <DigestMethod Algorithm="http://www.w3.org/2001/04/xmlenc#sha256"/>
        <DigestValue>GGwjG0VXsz5jCcP14gDf4oJnATnPFK1AK10iBr45abE=</DigestValue>
      </Reference>
      <Reference URI="/word/glossary/styles.xml?ContentType=application/vnd.openxmlformats-officedocument.wordprocessingml.styles+xml">
        <DigestMethod Algorithm="http://www.w3.org/2001/04/xmlenc#sha256"/>
        <DigestValue>ZCi7LCSJU9WRPSaeLnROERVZSvwl/B1gEFh8nOeWViI=</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y+FdDuVrraMcEzLsJrtCQ6+rSTlFwhIr5TlH3lP2YrA=</DigestValue>
      </Reference>
      <Reference URI="/word/header2.xml?ContentType=application/vnd.openxmlformats-officedocument.wordprocessingml.header+xml">
        <DigestMethod Algorithm="http://www.w3.org/2001/04/xmlenc#sha256"/>
        <DigestValue>yNcxdVy3HzLdJf4TyVQsuZQ+PssgR3dYhT44OzSneEU=</DigestValue>
      </Reference>
      <Reference URI="/word/header3.xml?ContentType=application/vnd.openxmlformats-officedocument.wordprocessingml.header+xml">
        <DigestMethod Algorithm="http://www.w3.org/2001/04/xmlenc#sha256"/>
        <DigestValue>yc0rZYnn29Aaom+VJVC+gniBgh1Z4nQvXgTgWJjys1I=</DigestValue>
      </Reference>
      <Reference URI="/word/media/image1.emf?ContentType=image/x-emf">
        <DigestMethod Algorithm="http://www.w3.org/2001/04/xmlenc#sha256"/>
        <DigestValue>UCa9eI0vjfYWaTLmlLTkfItXAa+2W39F0wipCCHiCGA=</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DyMsAI6FRhnSTv7hKZIgVDOR4uLCRcRS1uI8OyrVY1M=</DigestValue>
      </Reference>
      <Reference URI="/word/settings.xml?ContentType=application/vnd.openxmlformats-officedocument.wordprocessingml.settings+xml">
        <DigestMethod Algorithm="http://www.w3.org/2001/04/xmlenc#sha256"/>
        <DigestValue>YZ2CxMgjXCVG663mlOS65dLwMGhLlAzlhYlsr5p9i4k=</DigestValue>
      </Reference>
      <Reference URI="/word/styles.xml?ContentType=application/vnd.openxmlformats-officedocument.wordprocessingml.styles+xml">
        <DigestMethod Algorithm="http://www.w3.org/2001/04/xmlenc#sha256"/>
        <DigestValue>BKO0sy9ZYFx4qQ1MsWVf3+MI8OewAVXfRzWnuWQ3Tso=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2021-07-01T19:48:12Z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2021-07-01T19:48:12Z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1mucNdVcEWWqx0oygosT4qsvcoG5VUNkvdTmhP53Y/oCBAwmNnAYDzIwMjEwNzAxMTk0OD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XgBxymbGHs88dXOVSeN6gV0iW4Q=</xd:ByKey>
                  </xd:ResponderID>
                  <xd:ProducedAt>2021-07-01T19:47:09Z</xd:ProducedAt>
                </xd:OCSPIdentifier>
                <xd:DigestAlgAndValue>
                  <DigestMethod Algorithm="http://www.w3.org/2001/04/xmlenc#sha256"/>
                  <DigestValue>7NNCUamUfhfJwyr/7Ib2pX/bE/ecPTFu75xeGdzOf1E=</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f9YkWa66MLAF8QL/6Y0wmimFSUOli+UBm/NO2NwHw4CBAwmNnEYDzIwMjEwNzAxMTk0OD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161</Value>
      <Value>128</Value>
      <Value>126</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Aclaración de circular externa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Aclaración circular externa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2021-07-01T06:00:00+00:00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Aclaración circular externa </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E5E518E4-A775-423E-873D-6BBEF370355E}">
  <ds:schemaRefs>
    <ds:schemaRef ds:uri="office.server.policy"/>
  </ds:schemaRefs>
</ds:datastoreItem>
</file>

<file path=customXml/itemProps2.xml><?xml version="1.0" encoding="utf-8"?>
<ds:datastoreItem xmlns:ds="http://schemas.openxmlformats.org/officeDocument/2006/customXml" ds:itemID="{3C20FF79-F144-4426-9143-29134E26A2A9}">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875e23b-67d9-4b2e-bdec-edacbf90b326"/>
    <ds:schemaRef ds:uri="http://purl.org/dc/dcmitype/"/>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D76CE2-ED6F-4400-8E68-014DD4A11344}">
  <ds:schemaRefs>
    <ds:schemaRef ds:uri="http://schemas.microsoft.com/sharepoint/events"/>
  </ds:schemaRefs>
</ds:datastoreItem>
</file>

<file path=customXml/itemProps4.xml><?xml version="1.0" encoding="utf-8"?>
<ds:datastoreItem xmlns:ds="http://schemas.openxmlformats.org/officeDocument/2006/customXml" ds:itemID="{D6B0E946-848F-4739-BA42-A91215B0C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31BF8-3338-4317-8CB9-7352C21F4515}">
  <ds:schemaRefs>
    <ds:schemaRef ds:uri="http://schemas.microsoft.com/sharepoint/v3/contenttype/forms"/>
  </ds:schemaRefs>
</ds:datastoreItem>
</file>

<file path=customXml/itemProps6.xml><?xml version="1.0" encoding="utf-8"?>
<ds:datastoreItem xmlns:ds="http://schemas.openxmlformats.org/officeDocument/2006/customXml" ds:itemID="{0055D22C-273F-4852-BF0D-FA433FC378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plantillas-SGF-13</Template>
  <TotalTime>88</TotalTime>
  <Pages>3</Pages>
  <Words>603</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 DE LOS ANGE</cp:lastModifiedBy>
  <cp:revision>4</cp:revision>
  <dcterms:created xsi:type="dcterms:W3CDTF">2021-06-30T15:15:00Z</dcterms:created>
  <dcterms:modified xsi:type="dcterms:W3CDTF">2021-07-01T16:14:00Z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126;#Oficio|417b7e3a-1426-4267-afb3-20be5f4d6412</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176100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dc9be4ca-c6c9-41a3-8f1b-604965ed1693,6;7dedacbb-5c77-4a35-8847-40abd1245d4d,8;</vt:lpwstr>
  </property>
</Properties>
</file>